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A2B1" w14:textId="3FB522F3" w:rsidR="00827FA7" w:rsidRPr="00CF0D2A" w:rsidRDefault="00CF0D2A">
      <w:pPr>
        <w:rPr>
          <w:b/>
          <w:bCs/>
          <w:sz w:val="32"/>
          <w:szCs w:val="32"/>
        </w:rPr>
      </w:pPr>
      <w:r w:rsidRPr="00CF0D2A">
        <w:rPr>
          <w:b/>
          <w:bCs/>
          <w:sz w:val="32"/>
          <w:szCs w:val="32"/>
        </w:rPr>
        <w:t>Politique d’inclusion CFA L</w:t>
      </w:r>
      <w:r>
        <w:rPr>
          <w:b/>
          <w:bCs/>
          <w:sz w:val="32"/>
          <w:szCs w:val="32"/>
        </w:rPr>
        <w:t>eem</w:t>
      </w:r>
      <w:r w:rsidRPr="00CF0D2A">
        <w:rPr>
          <w:b/>
          <w:bCs/>
          <w:sz w:val="32"/>
          <w:szCs w:val="32"/>
        </w:rPr>
        <w:t xml:space="preserve"> Apprentissage</w:t>
      </w:r>
    </w:p>
    <w:p w14:paraId="75C5C627" w14:textId="1900D638" w:rsidR="00E370C5" w:rsidRPr="00E370C5" w:rsidRDefault="00E370C5" w:rsidP="00E370C5">
      <w:r w:rsidRPr="00E370C5">
        <w:t xml:space="preserve">Convaincu que chaque apprenant doit pouvoir vivre une expérience de mobilité internationale, quels que soient sa situation ou ses besoins, </w:t>
      </w:r>
      <w:r>
        <w:t>le CFA Leem Apprentissage</w:t>
      </w:r>
      <w:r w:rsidRPr="00E370C5">
        <w:t xml:space="preserve"> place l’inclusion au cœur de sa stratégie </w:t>
      </w:r>
      <w:r>
        <w:t xml:space="preserve">notamment avec son programme </w:t>
      </w:r>
      <w:r w:rsidRPr="00E370C5">
        <w:t>Erasmus+.</w:t>
      </w:r>
    </w:p>
    <w:p w14:paraId="3F4FCB2B" w14:textId="77777777" w:rsidR="00E370C5" w:rsidRPr="00E370C5" w:rsidRDefault="00E370C5" w:rsidP="00E370C5">
      <w:r w:rsidRPr="00E370C5">
        <w:t>Nous nous engageons à garantir un accès équitable à la mobilité pour tous, en portant une attention particulière aux publics ayant moins d’opportunités. Cette démarche s’inscrit pleinement dans nos engagements qualité et dans une logique d’accompagnement individualisé.</w:t>
      </w:r>
    </w:p>
    <w:p w14:paraId="4237375E" w14:textId="6B19A950" w:rsidR="00CF0D2A" w:rsidRPr="00CF0D2A" w:rsidRDefault="00DB786A" w:rsidP="00CF0D2A">
      <w:r>
        <w:rPr>
          <w:b/>
          <w:bCs/>
        </w:rPr>
        <w:t>Notre politique d’inclusion s’adresse aux apprenants rencontrant des freins pouvant limiter leur accès à la mobilité</w:t>
      </w:r>
      <w:r w:rsidR="006A2E71">
        <w:rPr>
          <w:b/>
          <w:bCs/>
        </w:rPr>
        <w:t>.</w:t>
      </w:r>
    </w:p>
    <w:p w14:paraId="5B53E97D" w14:textId="56953B0B" w:rsidR="00CF0D2A" w:rsidRPr="00CF0D2A" w:rsidRDefault="00CF0D2A" w:rsidP="00CF0D2A">
      <w:pPr>
        <w:pStyle w:val="ListParagraph"/>
        <w:numPr>
          <w:ilvl w:val="0"/>
          <w:numId w:val="22"/>
        </w:numPr>
      </w:pPr>
      <w:r w:rsidRPr="00CF0D2A">
        <w:t>Étudiants boursiers sur critères sociaux (échelons 6 et 7)</w:t>
      </w:r>
    </w:p>
    <w:p w14:paraId="3D31402B" w14:textId="4676CCA2" w:rsidR="00CF0D2A" w:rsidRPr="00CF0D2A" w:rsidRDefault="00CF0D2A" w:rsidP="00CF0D2A">
      <w:pPr>
        <w:pStyle w:val="ListParagraph"/>
        <w:numPr>
          <w:ilvl w:val="0"/>
          <w:numId w:val="22"/>
        </w:numPr>
      </w:pPr>
      <w:r w:rsidRPr="00CF0D2A">
        <w:t>Étudiants en situation de handicap</w:t>
      </w:r>
    </w:p>
    <w:p w14:paraId="257790B5" w14:textId="3606E6D2" w:rsidR="00CF0D2A" w:rsidRPr="00CF0D2A" w:rsidRDefault="00CF0D2A" w:rsidP="00CF0D2A">
      <w:pPr>
        <w:pStyle w:val="ListParagraph"/>
        <w:numPr>
          <w:ilvl w:val="0"/>
          <w:numId w:val="22"/>
        </w:numPr>
      </w:pPr>
      <w:r w:rsidRPr="00CF0D2A">
        <w:t>Étudiants atteints d’une affection de longue durée (ALD)</w:t>
      </w:r>
    </w:p>
    <w:p w14:paraId="76F7367C" w14:textId="41D1C741" w:rsidR="00CF0D2A" w:rsidRPr="00CF0D2A" w:rsidRDefault="00CF0D2A" w:rsidP="00CF0D2A">
      <w:pPr>
        <w:pStyle w:val="ListParagraph"/>
        <w:numPr>
          <w:ilvl w:val="0"/>
          <w:numId w:val="22"/>
        </w:numPr>
      </w:pPr>
      <w:r w:rsidRPr="00CF0D2A">
        <w:t>Résidents des quartiers prioritaires de la politique de la ville</w:t>
      </w:r>
    </w:p>
    <w:p w14:paraId="04F21EDF" w14:textId="27D5CE99" w:rsidR="00CF0D2A" w:rsidRPr="00CF0D2A" w:rsidRDefault="00CF0D2A" w:rsidP="00CF0D2A">
      <w:pPr>
        <w:pStyle w:val="ListParagraph"/>
        <w:numPr>
          <w:ilvl w:val="0"/>
          <w:numId w:val="22"/>
        </w:numPr>
      </w:pPr>
      <w:r w:rsidRPr="00CF0D2A">
        <w:t>Situations individuelles spécifiques justifiées par un accompagnement social</w:t>
      </w:r>
    </w:p>
    <w:p w14:paraId="5797132C" w14:textId="77777777" w:rsidR="00CF0D2A" w:rsidRPr="00CF0D2A" w:rsidRDefault="00CF0D2A" w:rsidP="00CF0D2A">
      <w:r w:rsidRPr="00CF0D2A">
        <w:rPr>
          <w:b/>
          <w:bCs/>
        </w:rPr>
        <w:t>Critères complémentaires retenus par l’établissement :</w:t>
      </w:r>
    </w:p>
    <w:p w14:paraId="59C767BC" w14:textId="42E3791F" w:rsidR="00CF0D2A" w:rsidRPr="00CF0D2A" w:rsidRDefault="00CF0D2A" w:rsidP="00CF0D2A">
      <w:pPr>
        <w:pStyle w:val="ListParagraph"/>
        <w:numPr>
          <w:ilvl w:val="0"/>
          <w:numId w:val="19"/>
        </w:numPr>
      </w:pPr>
      <w:r w:rsidRPr="00CF0D2A">
        <w:t>Étudiants boursiers (échelons 4 et 5)</w:t>
      </w:r>
    </w:p>
    <w:p w14:paraId="51E36E96" w14:textId="2BAA7C7F" w:rsidR="00CF0D2A" w:rsidRPr="00CF0D2A" w:rsidRDefault="00CF0D2A" w:rsidP="00CF0D2A">
      <w:pPr>
        <w:pStyle w:val="ListParagraph"/>
        <w:numPr>
          <w:ilvl w:val="0"/>
          <w:numId w:val="19"/>
        </w:numPr>
      </w:pPr>
      <w:r w:rsidRPr="00CF0D2A">
        <w:t>Résidents de zones rurales ou de revitalisation</w:t>
      </w:r>
    </w:p>
    <w:p w14:paraId="7EB22811" w14:textId="307C5D9B" w:rsidR="00CF0D2A" w:rsidRPr="00CF0D2A" w:rsidRDefault="006A2E71" w:rsidP="00CF0D2A">
      <w:r w:rsidRPr="006A2E71">
        <w:t>Ces critères nous permettent d’identifier les besoins spécifiques et de proposer un accompagnement adapté à chaque situation.</w:t>
      </w:r>
    </w:p>
    <w:p w14:paraId="173BC745" w14:textId="77777777" w:rsidR="006A2E71" w:rsidRDefault="006A2E71" w:rsidP="00CF0D2A">
      <w:pPr>
        <w:rPr>
          <w:b/>
          <w:bCs/>
        </w:rPr>
      </w:pPr>
      <w:r w:rsidRPr="006A2E71">
        <w:rPr>
          <w:b/>
          <w:bCs/>
        </w:rPr>
        <w:t>Un accompagnement personnalisé à chaque étape</w:t>
      </w:r>
    </w:p>
    <w:p w14:paraId="4C11C3F4" w14:textId="77777777" w:rsidR="006A2E71" w:rsidRDefault="006A2E71" w:rsidP="00CF0D2A">
      <w:r w:rsidRPr="006A2E71">
        <w:t>Parce que chaque parcours est unique, nous mettons en place un accompagnement individualisé pour favoriser la réussite des mobilités.</w:t>
      </w:r>
    </w:p>
    <w:p w14:paraId="5F3C4354" w14:textId="29877149" w:rsidR="00CF0D2A" w:rsidRPr="00CF0D2A" w:rsidRDefault="00CF0D2A" w:rsidP="00CF0D2A">
      <w:r w:rsidRPr="00CF0D2A">
        <w:rPr>
          <w:b/>
          <w:bCs/>
        </w:rPr>
        <w:t xml:space="preserve">Accompagnement des </w:t>
      </w:r>
      <w:hyperlink r:id="rId8" w:history="1">
        <w:r w:rsidRPr="00CF0D2A">
          <w:rPr>
            <w:rStyle w:val="Hyperlink"/>
            <w:b/>
            <w:bCs/>
          </w:rPr>
          <w:t>situations de handicap</w:t>
        </w:r>
      </w:hyperlink>
    </w:p>
    <w:p w14:paraId="511ACAB4" w14:textId="50639015" w:rsidR="00C04741" w:rsidRPr="00C04741" w:rsidRDefault="00C04741" w:rsidP="00C04741">
      <w:pPr>
        <w:pStyle w:val="ListParagraph"/>
        <w:numPr>
          <w:ilvl w:val="0"/>
          <w:numId w:val="19"/>
        </w:numPr>
      </w:pPr>
      <w:r w:rsidRPr="00C04741">
        <w:t>Une référente handicap dédiée assure un suivi personnalisé</w:t>
      </w:r>
    </w:p>
    <w:p w14:paraId="0BDF2905" w14:textId="169B60EE" w:rsidR="00C04741" w:rsidRPr="00C04741" w:rsidRDefault="00C04741" w:rsidP="00C04741">
      <w:pPr>
        <w:pStyle w:val="ListParagraph"/>
        <w:numPr>
          <w:ilvl w:val="0"/>
          <w:numId w:val="19"/>
        </w:numPr>
      </w:pPr>
      <w:r w:rsidRPr="00C04741">
        <w:t>Des aménagements sont mis en place selon les besoins, en formation comme en entreprise</w:t>
      </w:r>
    </w:p>
    <w:p w14:paraId="0B355F30" w14:textId="61E24222" w:rsidR="00C04741" w:rsidRPr="00C04741" w:rsidRDefault="00C04741" w:rsidP="00C04741">
      <w:pPr>
        <w:pStyle w:val="ListParagraph"/>
        <w:numPr>
          <w:ilvl w:val="0"/>
          <w:numId w:val="19"/>
        </w:numPr>
      </w:pPr>
      <w:r w:rsidRPr="00C04741">
        <w:t>Des rendez-vous réguliers sont organisés</w:t>
      </w:r>
    </w:p>
    <w:p w14:paraId="191AEAB5" w14:textId="147B09FF" w:rsidR="00C04741" w:rsidRDefault="00C04741" w:rsidP="00C04741">
      <w:pPr>
        <w:pStyle w:val="ListParagraph"/>
        <w:numPr>
          <w:ilvl w:val="0"/>
          <w:numId w:val="19"/>
        </w:numPr>
      </w:pPr>
      <w:r w:rsidRPr="00C04741">
        <w:t>Des partenariats avec des acteurs spécialisés (AGEFIPH) renforcent cet accompagnement</w:t>
      </w:r>
    </w:p>
    <w:p w14:paraId="4A73792A" w14:textId="1DD1EA6C" w:rsidR="00CF0D2A" w:rsidRPr="00CF0D2A" w:rsidRDefault="00CF0D2A" w:rsidP="00C04741">
      <w:r w:rsidRPr="00CF0D2A">
        <w:rPr>
          <w:b/>
          <w:bCs/>
        </w:rPr>
        <w:t xml:space="preserve">Accompagnement à la </w:t>
      </w:r>
      <w:hyperlink r:id="rId9" w:history="1">
        <w:r w:rsidRPr="00CF0D2A">
          <w:rPr>
            <w:rStyle w:val="Hyperlink"/>
            <w:b/>
            <w:bCs/>
          </w:rPr>
          <w:t>mobilité internationale</w:t>
        </w:r>
      </w:hyperlink>
    </w:p>
    <w:p w14:paraId="0C35B7B6" w14:textId="400FEA9E" w:rsidR="0079579A" w:rsidRPr="0079579A" w:rsidRDefault="0079579A" w:rsidP="0079579A">
      <w:pPr>
        <w:pStyle w:val="ListParagraph"/>
        <w:numPr>
          <w:ilvl w:val="0"/>
          <w:numId w:val="19"/>
        </w:numPr>
      </w:pPr>
      <w:r w:rsidRPr="0079579A">
        <w:t>Un référent mobilité accompagne chaque apprenant</w:t>
      </w:r>
    </w:p>
    <w:p w14:paraId="03D58143" w14:textId="3DA88830" w:rsidR="0079579A" w:rsidRPr="0079579A" w:rsidRDefault="0079579A" w:rsidP="0079579A">
      <w:pPr>
        <w:pStyle w:val="ListParagraph"/>
        <w:numPr>
          <w:ilvl w:val="0"/>
          <w:numId w:val="19"/>
        </w:numPr>
      </w:pPr>
      <w:r w:rsidRPr="0079579A">
        <w:t>Un suivi est assuré avant, pendant et après la mobilité</w:t>
      </w:r>
    </w:p>
    <w:p w14:paraId="77F521DA" w14:textId="6EBEE7F4" w:rsidR="0079579A" w:rsidRDefault="0079579A" w:rsidP="0079579A">
      <w:pPr>
        <w:pStyle w:val="ListParagraph"/>
        <w:numPr>
          <w:ilvl w:val="0"/>
          <w:numId w:val="19"/>
        </w:numPr>
      </w:pPr>
      <w:r w:rsidRPr="0079579A">
        <w:t>Un appui administratif et logistique est proposé à chaque étape</w:t>
      </w:r>
    </w:p>
    <w:p w14:paraId="0776A762" w14:textId="3F09D9CB" w:rsidR="00CF0D2A" w:rsidRPr="00CF0D2A" w:rsidRDefault="00CF0D2A" w:rsidP="0079579A">
      <w:r w:rsidRPr="00CF0D2A">
        <w:rPr>
          <w:b/>
          <w:bCs/>
        </w:rPr>
        <w:t>Accompagnement socio-professionnel</w:t>
      </w:r>
    </w:p>
    <w:p w14:paraId="6E000C0D" w14:textId="3A238C4D" w:rsidR="00CF0D2A" w:rsidRPr="00CF0D2A" w:rsidRDefault="00CF0D2A" w:rsidP="00CF0D2A">
      <w:pPr>
        <w:pStyle w:val="ListParagraph"/>
        <w:numPr>
          <w:ilvl w:val="0"/>
          <w:numId w:val="10"/>
        </w:numPr>
      </w:pPr>
      <w:r w:rsidRPr="00CF0D2A">
        <w:t>Ateliers d’aide à la recherche d’emploi (CV, lettres de motivation, entretiens)</w:t>
      </w:r>
    </w:p>
    <w:p w14:paraId="12DB4A6F" w14:textId="6B4CCE66" w:rsidR="00CF0D2A" w:rsidRPr="00CF0D2A" w:rsidRDefault="00CF0D2A" w:rsidP="00CF0D2A">
      <w:pPr>
        <w:pStyle w:val="ListParagraph"/>
        <w:numPr>
          <w:ilvl w:val="0"/>
          <w:numId w:val="10"/>
        </w:numPr>
      </w:pPr>
      <w:r w:rsidRPr="00CF0D2A">
        <w:t xml:space="preserve">Suivi individualisé par des conseillers </w:t>
      </w:r>
      <w:r w:rsidR="000E00AE">
        <w:t xml:space="preserve">en </w:t>
      </w:r>
      <w:r w:rsidR="0023697C">
        <w:t>apprentiss</w:t>
      </w:r>
      <w:r w:rsidR="00253B18">
        <w:t>age</w:t>
      </w:r>
    </w:p>
    <w:p w14:paraId="01C3339C" w14:textId="67781D55" w:rsidR="00CF0D2A" w:rsidRPr="00CF0D2A" w:rsidRDefault="00CF0D2A" w:rsidP="00CF0D2A">
      <w:pPr>
        <w:pStyle w:val="ListParagraph"/>
        <w:numPr>
          <w:ilvl w:val="0"/>
          <w:numId w:val="10"/>
        </w:numPr>
      </w:pPr>
      <w:r w:rsidRPr="00CF0D2A">
        <w:t xml:space="preserve">Partenariats avec les CROUS </w:t>
      </w:r>
      <w:r w:rsidR="009D79D3" w:rsidRPr="009D79D3">
        <w:t>pour faciliter l’accès aux aide</w:t>
      </w:r>
      <w:r w:rsidR="00111964">
        <w:t>s</w:t>
      </w:r>
    </w:p>
    <w:p w14:paraId="748D59E5" w14:textId="77777777" w:rsidR="009D79D3" w:rsidRDefault="009D79D3" w:rsidP="009D79D3">
      <w:pPr>
        <w:rPr>
          <w:b/>
          <w:bCs/>
        </w:rPr>
      </w:pPr>
      <w:r w:rsidRPr="009D79D3">
        <w:rPr>
          <w:b/>
          <w:bCs/>
        </w:rPr>
        <w:t>Faciliter le quotidien et sécuriser les parcours</w:t>
      </w:r>
    </w:p>
    <w:p w14:paraId="276DBD39" w14:textId="5069CE15" w:rsidR="00606C17" w:rsidRDefault="00606C17" w:rsidP="00606C17">
      <w:r>
        <w:t>Nous mettons à disposition des apprenants des ressources et dispositifs concrets pour lever les freins du quotidien :</w:t>
      </w:r>
    </w:p>
    <w:p w14:paraId="380101C8" w14:textId="77777777" w:rsidR="00606C17" w:rsidRDefault="00606C17" w:rsidP="00606C17">
      <w:pPr>
        <w:pStyle w:val="ListParagraph"/>
        <w:numPr>
          <w:ilvl w:val="0"/>
          <w:numId w:val="2"/>
        </w:numPr>
      </w:pPr>
      <w:r>
        <w:t>Informations pratiques sur le logement, la restauration, les transports, la santé et les aides financières</w:t>
      </w:r>
    </w:p>
    <w:p w14:paraId="19AE39D7" w14:textId="77777777" w:rsidR="00606C17" w:rsidRDefault="00606C17" w:rsidP="00606C17">
      <w:pPr>
        <w:pStyle w:val="ListParagraph"/>
        <w:numPr>
          <w:ilvl w:val="0"/>
          <w:numId w:val="2"/>
        </w:numPr>
      </w:pPr>
      <w:r>
        <w:t>Accompagnement dans les démarches administratives</w:t>
      </w:r>
    </w:p>
    <w:p w14:paraId="4321E08F" w14:textId="77777777" w:rsidR="00606C17" w:rsidRDefault="00606C17" w:rsidP="00606C17">
      <w:pPr>
        <w:pStyle w:val="ListParagraph"/>
        <w:numPr>
          <w:ilvl w:val="0"/>
          <w:numId w:val="2"/>
        </w:numPr>
      </w:pPr>
      <w:r>
        <w:t>Possibilité de mobiliser un fonds social interne pour répondre à des situations exceptionnelles</w:t>
      </w:r>
    </w:p>
    <w:p w14:paraId="59B816FB" w14:textId="77777777" w:rsidR="00606C17" w:rsidRDefault="00606C17" w:rsidP="00606C17">
      <w:pPr>
        <w:rPr>
          <w:b/>
          <w:bCs/>
        </w:rPr>
      </w:pPr>
      <w:r w:rsidRPr="00606C17">
        <w:rPr>
          <w:b/>
          <w:bCs/>
        </w:rPr>
        <w:t>Sensibiliser et agir pour l’égalité des chances</w:t>
      </w:r>
    </w:p>
    <w:p w14:paraId="32987ED8" w14:textId="77777777" w:rsidR="00AD2295" w:rsidRPr="00AD2295" w:rsidRDefault="00AD2295" w:rsidP="00AD2295">
      <w:r w:rsidRPr="00AD2295">
        <w:t>Notre engagement en faveur de l’inclusion se traduit également par des actions de sensibilisation accessibles à tous :</w:t>
      </w:r>
    </w:p>
    <w:p w14:paraId="1F46E163" w14:textId="060A25CB" w:rsidR="00AD2295" w:rsidRPr="00AD2295" w:rsidRDefault="00AD2295" w:rsidP="00AD2295">
      <w:pPr>
        <w:pStyle w:val="ListParagraph"/>
        <w:numPr>
          <w:ilvl w:val="0"/>
          <w:numId w:val="21"/>
        </w:numPr>
      </w:pPr>
      <w:r w:rsidRPr="00AD2295">
        <w:t>Module de prévention du harcèlement</w:t>
      </w:r>
    </w:p>
    <w:p w14:paraId="7D41604A" w14:textId="4E588881" w:rsidR="00AD2295" w:rsidRPr="00AD2295" w:rsidRDefault="00AD2295" w:rsidP="00AD2295">
      <w:pPr>
        <w:pStyle w:val="ListParagraph"/>
        <w:numPr>
          <w:ilvl w:val="0"/>
          <w:numId w:val="21"/>
        </w:numPr>
      </w:pPr>
      <w:r w:rsidRPr="00AD2295">
        <w:t>Module dédié à l’égalité des chances (mixité des métiers, égalité femmes-hommes, lutte contre les discriminations)</w:t>
      </w:r>
    </w:p>
    <w:p w14:paraId="5017E21B" w14:textId="357999B3" w:rsidR="00AD2295" w:rsidRPr="00AD2295" w:rsidRDefault="00AD2295" w:rsidP="00AD2295">
      <w:pPr>
        <w:pStyle w:val="ListParagraph"/>
        <w:numPr>
          <w:ilvl w:val="0"/>
          <w:numId w:val="21"/>
        </w:numPr>
      </w:pPr>
      <w:r w:rsidRPr="00AD2295">
        <w:t>Actions de sensibilisation à la gestion du stress</w:t>
      </w:r>
    </w:p>
    <w:p w14:paraId="3F49FCF3" w14:textId="77777777" w:rsidR="00AD2295" w:rsidRPr="00AD2295" w:rsidRDefault="00AD2295" w:rsidP="00AD2295">
      <w:pPr>
        <w:pStyle w:val="ListParagraph"/>
        <w:numPr>
          <w:ilvl w:val="0"/>
          <w:numId w:val="21"/>
        </w:numPr>
      </w:pPr>
      <w:r w:rsidRPr="00AD2295">
        <w:t>Vigilance portée à l’équilibre entre vie professionnelle et vie personnelle</w:t>
      </w:r>
    </w:p>
    <w:p w14:paraId="54A2D464" w14:textId="0B2EBBC0" w:rsidR="00CF0D2A" w:rsidRPr="00CF0D2A" w:rsidRDefault="00CF0D2A" w:rsidP="00CF0D2A"/>
    <w:p w14:paraId="05BAE722" w14:textId="7D8589C0" w:rsidR="00CF0D2A" w:rsidRPr="00CF0D2A" w:rsidRDefault="00AD2295" w:rsidP="00CF0D2A">
      <w:pPr>
        <w:rPr>
          <w:b/>
          <w:bCs/>
        </w:rPr>
      </w:pPr>
      <w:r>
        <w:rPr>
          <w:b/>
          <w:bCs/>
        </w:rPr>
        <w:t>Transparence et engagement</w:t>
      </w:r>
    </w:p>
    <w:p w14:paraId="4ABCE665" w14:textId="3C1D1993" w:rsidR="00A8422D" w:rsidRPr="00A8422D" w:rsidRDefault="00A8422D" w:rsidP="00A8422D">
      <w:r w:rsidRPr="00A8422D">
        <w:t xml:space="preserve">Conformément aux exigences du programme Erasmus+, </w:t>
      </w:r>
      <w:r>
        <w:t xml:space="preserve">le CFA Leem Apprentissage </w:t>
      </w:r>
      <w:r w:rsidRPr="00A8422D">
        <w:t>veille à :</w:t>
      </w:r>
    </w:p>
    <w:p w14:paraId="4BDF84D6" w14:textId="150A43E4" w:rsidR="00A8422D" w:rsidRPr="00A8422D" w:rsidRDefault="00A8422D" w:rsidP="00A8422D">
      <w:pPr>
        <w:pStyle w:val="ListParagraph"/>
        <w:numPr>
          <w:ilvl w:val="0"/>
          <w:numId w:val="16"/>
        </w:numPr>
      </w:pPr>
      <w:r w:rsidRPr="00A8422D">
        <w:t>Appliquer des critères d’inclusion clairs, équitables et transparents</w:t>
      </w:r>
    </w:p>
    <w:p w14:paraId="58F7DEE8" w14:textId="45DB4FD4" w:rsidR="00A8422D" w:rsidRPr="00A8422D" w:rsidRDefault="00A8422D" w:rsidP="00A8422D">
      <w:pPr>
        <w:pStyle w:val="ListParagraph"/>
        <w:numPr>
          <w:ilvl w:val="0"/>
          <w:numId w:val="16"/>
        </w:numPr>
      </w:pPr>
      <w:r w:rsidRPr="00A8422D">
        <w:t>Adapter les accompagnements en fonction des besoins identifiés</w:t>
      </w:r>
    </w:p>
    <w:p w14:paraId="382F49F7" w14:textId="0992553B" w:rsidR="00A8422D" w:rsidRPr="00A8422D" w:rsidRDefault="00A8422D" w:rsidP="00A8422D">
      <w:pPr>
        <w:pStyle w:val="ListParagraph"/>
        <w:numPr>
          <w:ilvl w:val="0"/>
          <w:numId w:val="16"/>
        </w:numPr>
      </w:pPr>
      <w:r w:rsidRPr="00A8422D">
        <w:t>Assurer un suivi rigoureux des mobilités inclusives</w:t>
      </w:r>
    </w:p>
    <w:p w14:paraId="093560DA" w14:textId="4DDC6A69" w:rsidR="00A8422D" w:rsidRPr="00A8422D" w:rsidRDefault="00A8422D" w:rsidP="00A8422D">
      <w:pPr>
        <w:pStyle w:val="ListParagraph"/>
        <w:numPr>
          <w:ilvl w:val="0"/>
          <w:numId w:val="16"/>
        </w:numPr>
      </w:pPr>
      <w:r w:rsidRPr="00A8422D">
        <w:t>Conserver les justificatifs nécessaires dans le cadre des contrôles éventuels</w:t>
      </w:r>
    </w:p>
    <w:p w14:paraId="2C839C77" w14:textId="249FC616" w:rsidR="00CF0D2A" w:rsidRPr="00CF0D2A" w:rsidRDefault="00CF0D2A" w:rsidP="00CF0D2A">
      <w:r>
        <w:t>Le CFA Leem Apprentissage</w:t>
      </w:r>
      <w:r w:rsidRPr="00CF0D2A">
        <w:t xml:space="preserve"> inscrit sa politique d’inclusion dans une dynamique d’amélioration continue, en lien avec les exigences qualité (notamment Qualiopi) et les évolutions du programme Erasmus+.</w:t>
      </w:r>
    </w:p>
    <w:p w14:paraId="501639E0" w14:textId="77777777" w:rsidR="00CF0D2A" w:rsidRPr="00CF0D2A" w:rsidRDefault="00CF0D2A" w:rsidP="00CF0D2A">
      <w:r w:rsidRPr="00CF0D2A">
        <w:t>Nous restons pleinement mobilisés pour adapter nos pratiques aux besoins des apprenants et favoriser une mobilité accessible à tous.</w:t>
      </w:r>
    </w:p>
    <w:p w14:paraId="3B77890D" w14:textId="77777777" w:rsidR="00CF0D2A" w:rsidRDefault="00CF0D2A"/>
    <w:sectPr w:rsidR="00CF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25E"/>
    <w:multiLevelType w:val="multilevel"/>
    <w:tmpl w:val="4946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C6F53"/>
    <w:multiLevelType w:val="hybridMultilevel"/>
    <w:tmpl w:val="35FEC4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90F07"/>
    <w:multiLevelType w:val="hybridMultilevel"/>
    <w:tmpl w:val="7E54E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241C"/>
    <w:multiLevelType w:val="multilevel"/>
    <w:tmpl w:val="FDA0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04B1C"/>
    <w:multiLevelType w:val="hybridMultilevel"/>
    <w:tmpl w:val="772C5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2DD6"/>
    <w:multiLevelType w:val="hybridMultilevel"/>
    <w:tmpl w:val="40845A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44265"/>
    <w:multiLevelType w:val="hybridMultilevel"/>
    <w:tmpl w:val="9AAEAE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13984"/>
    <w:multiLevelType w:val="multilevel"/>
    <w:tmpl w:val="9E86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B2BD1"/>
    <w:multiLevelType w:val="hybridMultilevel"/>
    <w:tmpl w:val="57303C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074DF"/>
    <w:multiLevelType w:val="hybridMultilevel"/>
    <w:tmpl w:val="C95098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33DF4"/>
    <w:multiLevelType w:val="multilevel"/>
    <w:tmpl w:val="F65A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2732E"/>
    <w:multiLevelType w:val="multilevel"/>
    <w:tmpl w:val="FC5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70206"/>
    <w:multiLevelType w:val="multilevel"/>
    <w:tmpl w:val="B540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83890"/>
    <w:multiLevelType w:val="hybridMultilevel"/>
    <w:tmpl w:val="595A6D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EA1318"/>
    <w:multiLevelType w:val="hybridMultilevel"/>
    <w:tmpl w:val="6FEE58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585E06"/>
    <w:multiLevelType w:val="hybridMultilevel"/>
    <w:tmpl w:val="95CEAE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2A43F6"/>
    <w:multiLevelType w:val="hybridMultilevel"/>
    <w:tmpl w:val="D05626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9C30BD"/>
    <w:multiLevelType w:val="multilevel"/>
    <w:tmpl w:val="1F60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01E00"/>
    <w:multiLevelType w:val="multilevel"/>
    <w:tmpl w:val="2A9E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1325E"/>
    <w:multiLevelType w:val="multilevel"/>
    <w:tmpl w:val="F39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31B3E"/>
    <w:multiLevelType w:val="multilevel"/>
    <w:tmpl w:val="A30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BF68AB"/>
    <w:multiLevelType w:val="multilevel"/>
    <w:tmpl w:val="472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20CCD"/>
    <w:multiLevelType w:val="hybridMultilevel"/>
    <w:tmpl w:val="B042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460B4"/>
    <w:multiLevelType w:val="hybridMultilevel"/>
    <w:tmpl w:val="6CC07F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867A71"/>
    <w:multiLevelType w:val="hybridMultilevel"/>
    <w:tmpl w:val="1A3021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0647585">
    <w:abstractNumId w:val="14"/>
  </w:num>
  <w:num w:numId="2" w16cid:durableId="1290239905">
    <w:abstractNumId w:val="4"/>
  </w:num>
  <w:num w:numId="3" w16cid:durableId="1331719084">
    <w:abstractNumId w:val="24"/>
  </w:num>
  <w:num w:numId="4" w16cid:durableId="155876480">
    <w:abstractNumId w:val="2"/>
  </w:num>
  <w:num w:numId="5" w16cid:durableId="1592932329">
    <w:abstractNumId w:val="1"/>
  </w:num>
  <w:num w:numId="6" w16cid:durableId="1616331356">
    <w:abstractNumId w:val="22"/>
  </w:num>
  <w:num w:numId="7" w16cid:durableId="1754473237">
    <w:abstractNumId w:val="17"/>
  </w:num>
  <w:num w:numId="8" w16cid:durableId="1810053912">
    <w:abstractNumId w:val="8"/>
  </w:num>
  <w:num w:numId="9" w16cid:durableId="1820152326">
    <w:abstractNumId w:val="12"/>
  </w:num>
  <w:num w:numId="10" w16cid:durableId="1901940857">
    <w:abstractNumId w:val="23"/>
  </w:num>
  <w:num w:numId="11" w16cid:durableId="1929535697">
    <w:abstractNumId w:val="21"/>
  </w:num>
  <w:num w:numId="12" w16cid:durableId="1942638732">
    <w:abstractNumId w:val="18"/>
  </w:num>
  <w:num w:numId="13" w16cid:durableId="2030570641">
    <w:abstractNumId w:val="16"/>
  </w:num>
  <w:num w:numId="14" w16cid:durableId="2101556396">
    <w:abstractNumId w:val="0"/>
  </w:num>
  <w:num w:numId="15" w16cid:durableId="380594378">
    <w:abstractNumId w:val="11"/>
  </w:num>
  <w:num w:numId="16" w16cid:durableId="444933674">
    <w:abstractNumId w:val="13"/>
  </w:num>
  <w:num w:numId="17" w16cid:durableId="55788174">
    <w:abstractNumId w:val="19"/>
  </w:num>
  <w:num w:numId="18" w16cid:durableId="572280345">
    <w:abstractNumId w:val="3"/>
  </w:num>
  <w:num w:numId="19" w16cid:durableId="592125538">
    <w:abstractNumId w:val="9"/>
  </w:num>
  <w:num w:numId="20" w16cid:durableId="741029657">
    <w:abstractNumId w:val="20"/>
  </w:num>
  <w:num w:numId="21" w16cid:durableId="767189996">
    <w:abstractNumId w:val="5"/>
  </w:num>
  <w:num w:numId="22" w16cid:durableId="771362396">
    <w:abstractNumId w:val="6"/>
  </w:num>
  <w:num w:numId="23" w16cid:durableId="783312146">
    <w:abstractNumId w:val="10"/>
  </w:num>
  <w:num w:numId="24" w16cid:durableId="836773168">
    <w:abstractNumId w:val="15"/>
  </w:num>
  <w:num w:numId="25" w16cid:durableId="956183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2A"/>
    <w:rsid w:val="000C1D1E"/>
    <w:rsid w:val="000E00AE"/>
    <w:rsid w:val="00111964"/>
    <w:rsid w:val="001D667E"/>
    <w:rsid w:val="0023697C"/>
    <w:rsid w:val="00253B18"/>
    <w:rsid w:val="00606C17"/>
    <w:rsid w:val="006A2E71"/>
    <w:rsid w:val="0074051F"/>
    <w:rsid w:val="0079579A"/>
    <w:rsid w:val="007C63CC"/>
    <w:rsid w:val="00827FA7"/>
    <w:rsid w:val="008F72DD"/>
    <w:rsid w:val="009D79D3"/>
    <w:rsid w:val="00A8422D"/>
    <w:rsid w:val="00AD2295"/>
    <w:rsid w:val="00BE577B"/>
    <w:rsid w:val="00C04741"/>
    <w:rsid w:val="00C26985"/>
    <w:rsid w:val="00CF0D2A"/>
    <w:rsid w:val="00DB786A"/>
    <w:rsid w:val="00DC4D15"/>
    <w:rsid w:val="00DE571E"/>
    <w:rsid w:val="00E22F22"/>
    <w:rsid w:val="00E370C5"/>
    <w:rsid w:val="00E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F500E"/>
  <w15:chartTrackingRefBased/>
  <w15:docId w15:val="{D546D2A1-BDA9-488B-83C3-7E01928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D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m-apprentissage.org/fr/handicap-et-apprentissa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eem-apprentissage.org/fr/trouver-sa-mobilite-internationa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1a424-2fbd-46be-8841-24d62ac35892" xsi:nil="true"/>
    <lcf76f155ced4ddcb4097134ff3c332f xmlns="b60a2c01-7bdc-4d7d-a2c6-0005e30dbe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481FF589964B8F296FCD317D45BD" ma:contentTypeVersion="18" ma:contentTypeDescription="Crée un document." ma:contentTypeScope="" ma:versionID="78defe98b6fd25bdbd1775d1cf713ef6">
  <xsd:schema xmlns:xsd="http://www.w3.org/2001/XMLSchema" xmlns:xs="http://www.w3.org/2001/XMLSchema" xmlns:p="http://schemas.microsoft.com/office/2006/metadata/properties" xmlns:ns2="b60a2c01-7bdc-4d7d-a2c6-0005e30dbefd" xmlns:ns3="8fd1a424-2fbd-46be-8841-24d62ac35892" targetNamespace="http://schemas.microsoft.com/office/2006/metadata/properties" ma:root="true" ma:fieldsID="40f542b320379b7b53677b375f1a4bd1" ns2:_="" ns3:_="">
    <xsd:import namespace="b60a2c01-7bdc-4d7d-a2c6-0005e30dbefd"/>
    <xsd:import namespace="8fd1a424-2fbd-46be-8841-24d62ac35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2c01-7bdc-4d7d-a2c6-0005e30d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e7bad7-d97d-4ba1-9383-483663e1d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1a424-2fbd-46be-8841-24d62ac358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6e799c-75b5-47cb-991c-d6293b06b7fa}" ma:internalName="TaxCatchAll" ma:showField="CatchAllData" ma:web="8fd1a424-2fbd-46be-8841-24d62ac35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252A4-E05B-43FF-99B1-4131E325F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FF9FE-6986-45AF-9E87-042B3A20E114}">
  <ds:schemaRefs>
    <ds:schemaRef ds:uri="http://schemas.microsoft.com/office/2006/metadata/properties"/>
    <ds:schemaRef ds:uri="http://schemas.microsoft.com/office/infopath/2007/PartnerControls"/>
    <ds:schemaRef ds:uri="8fd1a424-2fbd-46be-8841-24d62ac35892"/>
    <ds:schemaRef ds:uri="b60a2c01-7bdc-4d7d-a2c6-0005e30dbefd"/>
  </ds:schemaRefs>
</ds:datastoreItem>
</file>

<file path=customXml/itemProps3.xml><?xml version="1.0" encoding="utf-8"?>
<ds:datastoreItem xmlns:ds="http://schemas.openxmlformats.org/officeDocument/2006/customXml" ds:itemID="{F95BDBE8-78AA-4921-B125-44A155FC8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a2c01-7bdc-4d7d-a2c6-0005e30dbefd"/>
    <ds:schemaRef ds:uri="8fd1a424-2fbd-46be-8841-24d62ac35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CHABANIS</dc:creator>
  <cp:keywords/>
  <dc:description/>
  <cp:lastModifiedBy>Justine CHABANIS</cp:lastModifiedBy>
  <cp:revision>15</cp:revision>
  <dcterms:created xsi:type="dcterms:W3CDTF">2026-03-27T14:53:00Z</dcterms:created>
  <dcterms:modified xsi:type="dcterms:W3CDTF">2026-03-30T13:26:00Z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0x0101007DD3481FF589964B8F296FCD317D45BD</vt:lpwstr>
  </property>
  <property fmtid="{D5CDD505-2E9C-101B-9397-08002B2CF9AE}" pid="3" name="MediaServiceImageTags">
    <vt:lpwstr/>
  </property>
</Properties>
</file>